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DF0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Songti SC" w:cs="Songti SC"/>
          <w:sz w:val="32"/>
          <w:szCs w:val="40"/>
          <w:lang w:val="en-US" w:eastAsia="zh-CN"/>
        </w:rPr>
      </w:pPr>
      <w:bookmarkStart w:id="0" w:name="_GoBack"/>
      <w:r>
        <w:rPr>
          <w:rFonts w:hint="default" w:ascii="Times New Roman" w:hAnsi="Times New Roman" w:eastAsia="Songti SC" w:cs="Songti SC"/>
          <w:sz w:val="32"/>
          <w:szCs w:val="40"/>
          <w:lang w:val="en-US" w:eastAsia="zh-CN"/>
        </w:rPr>
        <w:t>使用可持续航空燃料的绿色航空：来自脱碳情景的见解</w:t>
      </w:r>
      <w:bookmarkEnd w:id="0"/>
    </w:p>
    <w:p w14:paraId="191CFC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Songti SC" w:cs="Songti SC"/>
          <w:sz w:val="32"/>
          <w:szCs w:val="40"/>
          <w:lang w:val="en-US" w:eastAsia="zh-CN"/>
        </w:rPr>
      </w:pPr>
    </w:p>
    <w:p w14:paraId="523F86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Songti SC" w:cs="Songti SC"/>
          <w:lang w:val="en-US" w:eastAsia="zh-CN"/>
        </w:rPr>
      </w:pPr>
      <w:r>
        <w:rPr>
          <w:rFonts w:hint="eastAsia" w:ascii="Times New Roman" w:hAnsi="Times New Roman" w:eastAsia="Songti SC" w:cs="Songti SC"/>
          <w:lang w:val="en-US" w:eastAsia="zh-CN"/>
        </w:rPr>
        <w:t>来源：</w:t>
      </w:r>
      <w:r>
        <w:rPr>
          <w:rFonts w:hint="eastAsia" w:ascii="Times New Roman" w:hAnsi="Times New Roman" w:eastAsia="Songti SC" w:cs="Songti SC"/>
          <w:lang w:val="en-US" w:eastAsia="zh-CN"/>
        </w:rPr>
        <w:fldChar w:fldCharType="begin"/>
      </w:r>
      <w:r>
        <w:rPr>
          <w:rFonts w:hint="eastAsia" w:ascii="Times New Roman" w:hAnsi="Times New Roman" w:eastAsia="Songti SC" w:cs="Songti SC"/>
          <w:lang w:val="en-US" w:eastAsia="zh-CN"/>
        </w:rPr>
        <w:instrText xml:space="preserve"> HYPERLINK "javascript:void(0);" </w:instrText>
      </w:r>
      <w:r>
        <w:rPr>
          <w:rFonts w:hint="eastAsia" w:ascii="Times New Roman" w:hAnsi="Times New Roman" w:eastAsia="Songti SC" w:cs="Songti SC"/>
          <w:lang w:val="en-US" w:eastAsia="zh-CN"/>
        </w:rPr>
        <w:fldChar w:fldCharType="separate"/>
      </w:r>
      <w:r>
        <w:rPr>
          <w:rFonts w:hint="eastAsia" w:ascii="Times New Roman" w:hAnsi="Times New Roman" w:eastAsia="Songti SC" w:cs="Songti SC"/>
        </w:rPr>
        <w:t>民航环境与可持续发展智库</w:t>
      </w:r>
      <w:r>
        <w:rPr>
          <w:rFonts w:hint="eastAsia" w:ascii="Times New Roman" w:hAnsi="Times New Roman" w:eastAsia="Songti SC" w:cs="Songti SC"/>
          <w:lang w:val="en-US" w:eastAsia="zh-CN"/>
        </w:rPr>
        <w:fldChar w:fldCharType="end"/>
      </w:r>
    </w:p>
    <w:p w14:paraId="4A6668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 w:eastAsia="Songti SC" w:cs="Songti SC"/>
          <w:lang w:val="en-US" w:eastAsia="zh-CN"/>
        </w:rPr>
      </w:pPr>
      <w:r>
        <w:rPr>
          <w:rFonts w:hint="eastAsia" w:ascii="Times New Roman" w:hAnsi="Times New Roman" w:eastAsia="Songti SC" w:cs="Songti SC"/>
          <w:kern w:val="2"/>
          <w:sz w:val="28"/>
          <w:szCs w:val="36"/>
          <w:lang w:val="en-US" w:eastAsia="zh-CN" w:bidi="ar-SA"/>
        </w:rPr>
        <w:t>一、</w:t>
      </w: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研究简介</w:t>
      </w:r>
    </w:p>
    <w:p w14:paraId="3400DA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本文梳理总结近期研究中到2050年民用航空截然不同的脱碳路径，探究这些情景中关键假设（即可持续航空燃料（SAF）的部署、需求轨迹预测及电动与氢燃料解决方案的可用性）如何影响该行业未来的温室气体排放。研究基于67个来自行业、学术、机构及智库/非政府组织的近期情景数据展开分析，结果揭示了这些情景的共同特征：首先，在高SAF使用率条件下，SAF对2050年剩余温室气体排放的负面影响已形成明确共识；其次，67个研究情景显示生物基SAF的脱碳能力弱于电子燃料（e-fuel）；最后，部分情景存在作者设置情景参数的偏差迹象，这引发了对其在政策制定中直接应用的担忧。通过量化分析不同脱碳情景的关键驱动因素，为理解航空业减排路径的共性与差异提供了重要参考，尤其强调SAF规模效应、技术类型差异及情景构建中的潜在偏差对政策制定的启示。</w:t>
      </w:r>
    </w:p>
    <w:p w14:paraId="0F6787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eastAsia="Songti SC" w:cs="Songti SC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Songti SC" w:cs="Songti SC"/>
          <w:kern w:val="2"/>
          <w:sz w:val="28"/>
          <w:szCs w:val="36"/>
          <w:lang w:val="en-US" w:eastAsia="zh-CN" w:bidi="ar-SA"/>
        </w:rPr>
        <w:drawing>
          <wp:inline distT="0" distB="0" distL="114300" distR="114300">
            <wp:extent cx="5267960" cy="2587625"/>
            <wp:effectExtent l="0" t="0" r="8890" b="3175"/>
            <wp:docPr id="1" name="图片 1" descr="微信图片_2025-07-05_095133_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-07-05_095133_2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DDC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  <w:r>
        <w:rPr>
          <w:rFonts w:hint="eastAsia" w:ascii="Times New Roman" w:hAnsi="Times New Roman" w:eastAsia="Songti SC" w:cs="Songti SC"/>
          <w:kern w:val="2"/>
          <w:sz w:val="28"/>
          <w:szCs w:val="36"/>
          <w:lang w:val="en-US" w:eastAsia="zh-CN" w:bidi="ar-SA"/>
        </w:rPr>
        <w:t>二、</w:t>
      </w: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研究方法</w:t>
      </w:r>
    </w:p>
    <w:p w14:paraId="14D17B9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2" w:firstLineChars="200"/>
        <w:textAlignment w:val="auto"/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  <w:t>一、数据收集与样本构建</w:t>
      </w:r>
    </w:p>
    <w:p w14:paraId="23A731E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  <w:t>系统性收集2021-2023年期间15项研究的67个航空脱碳情景，涵盖行业（如ATAG、IATA）、学术（如Bergero et al.2023）、机构（如ICAO、IEA）及智库/NGO（如Transport &amp; Environment）来源。数据涉及2050年GHG排放量、SAF消耗量、航空市场规模（RPK）、氢/电能源消耗量等变量，部分数据通过单位转换（如兆吨、十亿升转换为EJ实现标准化）。</w:t>
      </w:r>
    </w:p>
    <w:p w14:paraId="0A97109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2" w:firstLineChars="200"/>
        <w:textAlignment w:val="auto"/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/>
          <w:bCs/>
          <w:sz w:val="24"/>
          <w:szCs w:val="32"/>
          <w:lang w:val="en-US" w:eastAsia="zh-CN"/>
        </w:rPr>
        <w:t>二、模型构建与实证分析</w:t>
      </w:r>
    </w:p>
    <w:p w14:paraId="201BFD6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  <w:t>1.基础对数线性回归（Model I）：以残余排放量为因变量，解释变量包括SAF消耗量、市场规模、氢/电消耗虚拟变量及控制变量（非CO₂效应、货运、间接土地利用变化），检验各因素对排放的线性影响。</w:t>
      </w:r>
    </w:p>
    <w:p w14:paraId="6BBAE55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  <w:t>2.非线性与结构断点检验（Model II）：通过加入SAF对数的二次项发现非线性关系，进一步通过排序和似然比检验确定SAF部署量的结构断点（10.664 EJ），并引入交互项区分断点前后的边际效应。</w:t>
      </w:r>
    </w:p>
    <w:p w14:paraId="4D11789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  <w:t>3.作者偏见检验（Model III-A/B）：在模型中加入作者类型虚拟变量（行业、机构、智库/NGO）及其与SAF对数的交互项，检验不同来源情景是否系统性高估/低估SAF效果或排放基线。</w:t>
      </w:r>
    </w:p>
    <w:p w14:paraId="2C40F9E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  <w:t>4.技术偏见检验（Model IV）：针对52个披露e-fuel比例的子样本，引入SAF对数与e-fuel比例的交互项，分析生物基SAF与e-fuel的脱碳效力差异。</w:t>
      </w:r>
    </w:p>
    <w:p w14:paraId="3D61750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textAlignment w:val="auto"/>
        <w:rPr>
          <w:rFonts w:hint="eastAsia" w:ascii="Times New Roman" w:hAnsi="Times New Roman" w:eastAsia="Songti SC Regular" w:cs="Songti SC Regular"/>
          <w:b w:val="0"/>
          <w:bCs w:val="0"/>
          <w:sz w:val="24"/>
          <w:szCs w:val="32"/>
          <w:lang w:val="en-US" w:eastAsia="zh-CN"/>
        </w:rPr>
      </w:pPr>
    </w:p>
    <w:p w14:paraId="5F965B7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textAlignment w:val="auto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  <w:r>
        <w:rPr>
          <w:rFonts w:hint="eastAsia" w:ascii="Times New Roman" w:hAnsi="Times New Roman" w:eastAsia="Songti SC" w:cs="Songti SC"/>
          <w:kern w:val="0"/>
          <w:sz w:val="28"/>
          <w:szCs w:val="36"/>
          <w:lang w:val="en-US" w:eastAsia="zh-CN" w:bidi="ar"/>
        </w:rPr>
        <w:t>三、</w:t>
      </w: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研究结论</w:t>
      </w:r>
    </w:p>
    <w:p w14:paraId="69FAF9A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2" w:firstLineChars="200"/>
        <w:jc w:val="left"/>
        <w:textAlignment w:val="auto"/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1.SAF部署的非线性减排效应</w:t>
      </w:r>
    </w:p>
    <w:p w14:paraId="12F82ED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SAF对残余排放的影响存在10.664 EJ的结构断点，低于该阈值时减排效应不显著，超过后SAF每增加1%可使排放降低0.48%-0.51%，凸显规模效应的重要性。值得注意的是，该阈值与全球生物基SAF资源上限接近，暗示e-fuel等合成燃料在高渗透率情景中不可替代。</w:t>
      </w:r>
    </w:p>
    <w:p w14:paraId="0265DD2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2" w:firstLineChars="200"/>
        <w:jc w:val="left"/>
        <w:textAlignment w:val="auto"/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2.e-fuel的脱碳优势</w:t>
      </w:r>
    </w:p>
    <w:p w14:paraId="499A081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情景显示e-fuel的脱碳能力显著优于生物基SAF，纯e-fuel情景的边际减排效应（0.58%/1%增量）是纯生物基SAF（0.29%/1%增量）的2倍，但该结论依赖e-fuel生产全绿电的假设。</w:t>
      </w:r>
    </w:p>
    <w:p w14:paraId="54B629A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2" w:firstLineChars="200"/>
        <w:jc w:val="left"/>
        <w:textAlignment w:val="auto"/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3.作者背景导致的情景偏差</w:t>
      </w:r>
    </w:p>
    <w:p w14:paraId="20193CD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行业来源情景显著高估SAF的减排效应（较学术情景边际效应增强43.4%），可能源于利益驱动的政策影响意图；工业情景系统性忽略非CO₂效应，导致排放预测低估5-6倍。</w:t>
      </w:r>
    </w:p>
    <w:p w14:paraId="137F96A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2" w:firstLineChars="200"/>
        <w:jc w:val="left"/>
        <w:textAlignment w:val="auto"/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4.需求管理的减排潜力与情景构建缺陷</w:t>
      </w:r>
    </w:p>
    <w:p w14:paraId="3A933A8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市场规模每缩减1%的减排效果是SAF增量的3-4倍、氢电方案的5-10倍，强调了需求侧管理（如碳价、短途航班限制、行为改变）在脱碳战略中的重要性，但现有情景普遍忽视需求侧价格弹性与行为变化。</w:t>
      </w:r>
    </w:p>
    <w:p w14:paraId="1C16254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2" w:firstLineChars="200"/>
        <w:jc w:val="left"/>
        <w:textAlignment w:val="auto"/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5.政策启示</w:t>
      </w:r>
    </w:p>
    <w:p w14:paraId="53BFBFA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设定SAF强制掺混比例阈值，并配套绿电补贴以提升e-fuel占比；纳入需求侧政策工具，将短途航班碳税与高频飞行配额纳入情景模型，平衡技术与需求的减排贡献；要求情景明确能源效率假设、非CO2效应核算范围及SAF生产的电力碳强度。</w:t>
      </w:r>
    </w:p>
    <w:p w14:paraId="28D086A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2" w:firstLineChars="200"/>
        <w:jc w:val="left"/>
        <w:textAlignment w:val="auto"/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6.未来研究重点</w:t>
      </w:r>
    </w:p>
    <w:p w14:paraId="5E166A9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开发价格弹性需求模型，量化SAF成本对航空市场的反馈效应；探索机构情景的监管捕获风险，并分析资金来源对情景假设的影响。该研究通过统计模型量化情景假设对航空排放的影响，揭示了不同脱碳情景预测差异的关键驱动因素，包括SAF部署水平（存在10.664 EJ的阈值，超过该阈值后SAF的边际减排效果显著增强）、SAF类型（e-fuel的脱碳效力优于生物基SAF）、需求增长幅度、非CO2效应的核算与否以及作者背景导致的行业偏见，为政策制定提供量化依据；研究强调，唯有推动大规模SAF部署、强化需求管理并全面核算非CO2效应，航空业才能真正实现净零排放目标；最后呼吁提高情景构建过程的透明度，批判性评估情景中的假设前提，从而为决策者提供更全面、客观的信息支持。</w:t>
      </w:r>
    </w:p>
    <w:p w14:paraId="4228199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Songti SC" w:cs="Songti SC Regular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6AFD3CC1">
      <w:pPr>
        <w:keepNext w:val="0"/>
        <w:keepLines w:val="0"/>
        <w:widowControl/>
        <w:suppressLineNumbers w:val="0"/>
        <w:jc w:val="left"/>
        <w:rPr>
          <w:rFonts w:ascii="Times New Roman" w:hAnsi="Times New Roman"/>
        </w:rPr>
      </w:pPr>
      <w:r>
        <w:rPr>
          <w:rFonts w:ascii="Times New Roman" w:hAnsi="Times New Roman" w:eastAsia="宋体" w:cs="宋体"/>
          <w:kern w:val="0"/>
          <w:sz w:val="24"/>
          <w:szCs w:val="24"/>
          <w:lang w:val="en-US" w:eastAsia="zh-CN" w:bidi="ar"/>
        </w:rPr>
        <w:t>文献引用</w:t>
      </w:r>
    </w:p>
    <w:p w14:paraId="3A6A63D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default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Paul Bardon, Olivier Massol, Arthur Thomas, Greening aviation with sustainable aviation fuels: Insights from decarbonization scenarios, Journal of Environmental Management, Volume 374, 2025, 123943.</w:t>
      </w:r>
    </w:p>
    <w:p w14:paraId="4AD437B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资料链接：</w:t>
      </w:r>
    </w:p>
    <w:p w14:paraId="575A4B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宋体" w:cs="宋体"/>
          <w:color w:val="000000"/>
          <w:spacing w:val="12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000000"/>
          <w:spacing w:val="12"/>
          <w:kern w:val="0"/>
          <w:sz w:val="24"/>
          <w:szCs w:val="24"/>
          <w:u w:val="none"/>
          <w:lang w:val="en-US" w:eastAsia="zh-CN" w:bidi="ar"/>
        </w:rPr>
        <w:t>https://www.sciencedirect.com/science/article/pii/S0301479724039306</w:t>
      </w:r>
    </w:p>
    <w:p w14:paraId="548D46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宋体" w:cs="宋体"/>
          <w:color w:val="000000"/>
          <w:spacing w:val="12"/>
          <w:kern w:val="0"/>
          <w:sz w:val="24"/>
          <w:szCs w:val="24"/>
          <w:u w:val="none"/>
          <w:lang w:val="en-US" w:eastAsia="zh-CN" w:bidi="ar"/>
        </w:rPr>
      </w:pPr>
    </w:p>
    <w:p w14:paraId="6CB1BD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sz w:val="24"/>
          <w:szCs w:val="32"/>
        </w:rPr>
      </w:pPr>
      <w:r>
        <w:rPr>
          <w:rFonts w:hint="eastAsia" w:ascii="Times New Roman" w:hAnsi="Times New Roman"/>
          <w:sz w:val="24"/>
          <w:szCs w:val="32"/>
        </w:rPr>
        <w:t>资料收集：赵慧杰</w:t>
      </w:r>
      <w:r>
        <w:rPr>
          <w:rFonts w:hint="eastAsia" w:ascii="Times New Roman" w:hAnsi="Times New Roman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szCs w:val="32"/>
        </w:rPr>
        <w:t>林远鹏 黄世豪 安欣</w:t>
      </w:r>
    </w:p>
    <w:p w14:paraId="5B87EA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sz w:val="24"/>
          <w:szCs w:val="32"/>
        </w:rPr>
      </w:pPr>
      <w:r>
        <w:rPr>
          <w:rFonts w:hint="eastAsia" w:ascii="Times New Roman" w:hAnsi="Times New Roman"/>
          <w:sz w:val="24"/>
          <w:szCs w:val="32"/>
        </w:rPr>
        <w:t>校对：张奕野 贾忠杰</w:t>
      </w:r>
      <w:r>
        <w:rPr>
          <w:rFonts w:hint="eastAsia" w:ascii="Times New Roman" w:hAnsi="Times New Roman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szCs w:val="32"/>
        </w:rPr>
        <w:t>王君瑶</w:t>
      </w:r>
    </w:p>
    <w:p w14:paraId="548C01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sz w:val="24"/>
          <w:szCs w:val="32"/>
        </w:rPr>
      </w:pPr>
      <w:r>
        <w:rPr>
          <w:rFonts w:hint="eastAsia" w:ascii="Times New Roman" w:hAnsi="Times New Roman"/>
          <w:sz w:val="24"/>
          <w:szCs w:val="32"/>
        </w:rPr>
        <w:t>审核：陈俣秀 杨晓军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ngti SC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ng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ABF7EBD"/>
    <w:rsid w:val="028267D3"/>
    <w:rsid w:val="07FF0327"/>
    <w:rsid w:val="0AB17F49"/>
    <w:rsid w:val="0C3C58EC"/>
    <w:rsid w:val="127E5165"/>
    <w:rsid w:val="1C4F6288"/>
    <w:rsid w:val="21C178B6"/>
    <w:rsid w:val="27B46EA4"/>
    <w:rsid w:val="2C386D5B"/>
    <w:rsid w:val="36FEC60B"/>
    <w:rsid w:val="3A751F6D"/>
    <w:rsid w:val="3D2F7A10"/>
    <w:rsid w:val="3EF7922A"/>
    <w:rsid w:val="3F01471F"/>
    <w:rsid w:val="44B86A46"/>
    <w:rsid w:val="4768270F"/>
    <w:rsid w:val="48146491"/>
    <w:rsid w:val="5B4B5EFB"/>
    <w:rsid w:val="5C9710BF"/>
    <w:rsid w:val="5CD1BE6A"/>
    <w:rsid w:val="5E0E40DE"/>
    <w:rsid w:val="5FB95630"/>
    <w:rsid w:val="609D7C10"/>
    <w:rsid w:val="71BCB725"/>
    <w:rsid w:val="750657D5"/>
    <w:rsid w:val="78653605"/>
    <w:rsid w:val="7C887C03"/>
    <w:rsid w:val="7F4BD20D"/>
    <w:rsid w:val="97D94D30"/>
    <w:rsid w:val="A7BD84BD"/>
    <w:rsid w:val="AABF7EBD"/>
    <w:rsid w:val="ACFF1F92"/>
    <w:rsid w:val="AFEF5518"/>
    <w:rsid w:val="DEFD884A"/>
    <w:rsid w:val="EDDE1178"/>
    <w:rsid w:val="EFB6D1A8"/>
    <w:rsid w:val="F7B3D157"/>
    <w:rsid w:val="FAEEFF77"/>
    <w:rsid w:val="FF7953E1"/>
    <w:rsid w:val="FFD88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ascii="Times New Roman" w:hAnsi="Times New Roman"/>
      <w:b/>
      <w:kern w:val="44"/>
      <w:sz w:val="28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100" w:beforeLines="100" w:beforeAutospacing="0" w:afterLines="0" w:afterAutospacing="0" w:line="413" w:lineRule="auto"/>
      <w:outlineLvl w:val="1"/>
    </w:pPr>
    <w:rPr>
      <w:rFonts w:ascii="Times New Roman" w:hAnsi="Times New Roman" w:eastAsia="黑体"/>
      <w:b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Lines="0" w:afterAutospacing="0" w:line="413" w:lineRule="auto"/>
      <w:jc w:val="left"/>
      <w:outlineLvl w:val="2"/>
    </w:pPr>
    <w:rPr>
      <w:rFonts w:ascii="Times New Roman" w:hAnsi="Times New Roman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标题 2 Char"/>
    <w:link w:val="3"/>
    <w:qFormat/>
    <w:uiPriority w:val="0"/>
    <w:rPr>
      <w:rFonts w:ascii="Times New Roman" w:hAnsi="Times New Roman" w:eastAsia="黑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2545</Words>
  <Characters>3406</Characters>
  <Lines>0</Lines>
  <Paragraphs>0</Paragraphs>
  <TotalTime>19</TotalTime>
  <ScaleCrop>false</ScaleCrop>
  <LinksUpToDate>false</LinksUpToDate>
  <CharactersWithSpaces>3535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2024-06-07T13:29:00Z</dcterms:created>
  <dc:creator>grm</dc:creator>
  <cp:lastModifiedBy>这歌。</cp:lastModifiedBy>
  <dcterms:modified xsi:type="dcterms:W3CDTF">2025-07-05T02:10:31Z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F5ECD881211F4099949483152B661048_13</vt:lpwstr>
  </property>
  <property fmtid="{D5CDD505-2E9C-101B-9397-08002B2CF9AE}" pid="4" name="KSOTemplateDocerSaveRecord">
    <vt:lpwstr>eyJoZGlkIjoiOTc3M2Y5NzIzMDFlZjAyY2Q4Njk5ODkyYjFjNzBiNTQiLCJ1c2VySWQiOiIzODc1MzYwOTUifQ==</vt:lpwstr>
  </property>
</Properties>
</file>