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ongti SC" w:cs="Songti S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ge">
              <wp:posOffset>2067560</wp:posOffset>
            </wp:positionV>
            <wp:extent cx="516890" cy="505460"/>
            <wp:effectExtent l="0" t="0" r="16510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  <w:t>绿色航线：到 2050 年实现净零航空的助推器</w:t>
      </w:r>
    </w:p>
    <w:p>
      <w:pPr>
        <w:spacing w:line="240" w:lineRule="auto"/>
        <w:jc w:val="center"/>
        <w:rPr>
          <w:rFonts w:hint="eastAsia" w:ascii="Times New Roman" w:hAnsi="Times New Roman" w:eastAsia="Songti SC" w:cs="Songti SC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default" w:ascii="Times New Roman" w:hAnsi="Times New Roman" w:eastAsia="Songti SC" w:cs="Songti SC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lang w:val="en-US" w:eastAsia="zh-CN"/>
        </w:rPr>
        <w:t>来源：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begin"/>
      </w:r>
      <w:r>
        <w:rPr>
          <w:rFonts w:hint="eastAsia" w:ascii="Times New Roman" w:hAnsi="Times New Roman" w:eastAsia="Songti SC" w:cs="Songti SC"/>
          <w:lang w:val="en-US" w:eastAsia="zh-CN"/>
        </w:rPr>
        <w:instrText xml:space="preserve"> HYPERLINK "javascript:void(0);" </w:instrTex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separate"/>
      </w:r>
      <w:r>
        <w:rPr>
          <w:rFonts w:hint="eastAsia" w:ascii="Times New Roman" w:hAnsi="Times New Roman" w:eastAsia="Songti SC" w:cs="Songti SC"/>
        </w:rPr>
        <w:t>民航环境与可持续发展智库</w:t>
      </w:r>
      <w:r>
        <w:rPr>
          <w:rFonts w:hint="eastAsia" w:ascii="Times New Roman" w:hAnsi="Times New Roman" w:eastAsia="Songti SC" w:cs="Songti SC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Times New Roman" w:hAnsi="Times New Roman" w:eastAsia="Songti SC" w:cs="Songti SC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文章简介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可持续航空燃料（SAF）的大规模生产和使用对于到2050年实现净零排放至关重要。从这一角度出发，本研究认为可以通过建立“绿色航线”（green flight paths，GFPs），从2022年的极低水平（占2050年实现净零排放所需水平的0.1%）推动SAF的大规模生产。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主要分析方法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本研究通过分析当前航空业的碳排放情况、SAF的生产现状及其面临的挑战，提出了GFPs。GFPs的发展以《克莱德班克宣言》（Clydebank Declaration from COP26）为基础，该宣言旨在改变航运排放。本研究将GFPs定义为特定的航线，以激励在长途航线上使用100% SAF。GFPs的特点是航程超过3500千米至4000千米（即长途航线），并且通常由以涡扇发动机为动力的高客座率机身提供服务。GFPs的建立需要机场、航空公司、燃料供应商和政策制定者之间的密切合作，以制定有利的基础设施、法规和激励措施。本研究重点分析了英国和阿联酋这两个主要航空市场，其在发展SAF商业生产能力以实现航空业去碳化的早期投资阶段，具有世界领先的政治、技术和生产能力。从能源公平转型的角度出发，探讨了GFPs如何公正地促进SAF的采用和成本降低，将负担放在责任所在国家。强调了建立GFPs需要机场、航空公司、燃料供应商和政策制定者之间的紧密合作，以发展支持性基础设施、法规和激励措施。评估了不同的SAF技术路径，包括加氢处理脂和脂肪酸（HEFA）、费托合成（FT）和乙醇制航空燃料（AtJ），并规划了直到2030年的技术发展路线图。分析了全球范围内的政策和市场动态，以及它们如何影响SAF的采用和成本。探讨了如何通过国际合作和协同努力，促进SAF技术的发展和应用。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0" w:firstLineChars="0"/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</w:pPr>
      <w:r>
        <w:rPr>
          <w:rFonts w:hint="eastAsia" w:ascii="Times New Roman" w:hAnsi="Times New Roman" w:eastAsia="Songti SC" w:cs="Songti SC"/>
          <w:sz w:val="28"/>
          <w:szCs w:val="36"/>
          <w:lang w:val="en-US" w:eastAsia="zh-CN"/>
        </w:rPr>
        <w:t>研究结论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both"/>
        <w:rPr>
          <w:rFonts w:hint="eastAsia" w:ascii="Times New Roman" w:hAnsi="Times New Roman" w:eastAsia="Songti SC" w:cs="Songti SC Regular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研究认为，针对迪拜和伦敦希思罗机场等主要长途航线的GFPs，可以促进在主要航空市场示范和部署SAF技术，这对于全球努力在2050年前实现航空业去碳化至关重要。阿联酋和英国都高度依赖长途飞行，因此在建立GFPs以支持SAF的示范和部署方面，两国都拥有令人瞩目的领导机会。建立GFPs以及相关的SAF生产，不仅可以促进航空部门的去碳化，还可以促成国际合作，共同开发SAF以及相关的清洁技术，从而在全球范围内实现2050年净零排放的目标。最后，从能源公平转型的角度来看，优先发展远程航空的国家，如阿联酋和英国，可以通过利用发展GFPs来帮助解决航空排放这一挑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Songti SC" w:cs="Songti SC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资料链接：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Griffiths S, Uratani J M, Ríos-Galván A, et al. Green flight paths: a catalyst for net-zero aviation by 2050[J]. Energy &amp; Environmental Science, 2024.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Times New Roman" w:hAnsi="Times New Roman" w:eastAsia="Songti SC"/>
        </w:rPr>
      </w:pPr>
    </w:p>
    <w:p>
      <w:pPr>
        <w:pStyle w:val="5"/>
        <w:keepNext w:val="0"/>
        <w:keepLines w:val="0"/>
        <w:widowControl/>
        <w:suppressLineNumbers w:val="0"/>
      </w:pPr>
      <w:r>
        <w:rPr>
          <w:sz w:val="28"/>
          <w:szCs w:val="28"/>
        </w:rPr>
        <w:t>资料搜集：沈心怡 陈海一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28"/>
          <w:szCs w:val="28"/>
        </w:rPr>
        <w:t>校对：张奕野 贾忠杰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28"/>
          <w:szCs w:val="28"/>
        </w:rPr>
        <w:t>审核：陈俣秀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ascii="Times New Roman" w:hAnsi="Times New Roman" w:eastAsia="Songti SC"/>
        </w:rPr>
      </w:pPr>
      <w:bookmarkStart w:id="0" w:name="_GoBack"/>
      <w:bookmarkEnd w:id="0"/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E1B2F"/>
    <w:multiLevelType w:val="singleLevel"/>
    <w:tmpl w:val="4D9E1B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F7EBD"/>
    <w:rsid w:val="36FEC60B"/>
    <w:rsid w:val="3EF7922A"/>
    <w:rsid w:val="5CD1BE6A"/>
    <w:rsid w:val="5DD6EE5C"/>
    <w:rsid w:val="71BCB725"/>
    <w:rsid w:val="7F4BD20D"/>
    <w:rsid w:val="7F7F05F0"/>
    <w:rsid w:val="97D94D30"/>
    <w:rsid w:val="A7BD84BD"/>
    <w:rsid w:val="AABF7EBD"/>
    <w:rsid w:val="ACFF1F92"/>
    <w:rsid w:val="AFEF5518"/>
    <w:rsid w:val="DBFE71DE"/>
    <w:rsid w:val="DEFD884A"/>
    <w:rsid w:val="E77F90E2"/>
    <w:rsid w:val="EDDE1178"/>
    <w:rsid w:val="EFB6D1A8"/>
    <w:rsid w:val="F7B3D157"/>
    <w:rsid w:val="FAEEFF77"/>
    <w:rsid w:val="FF7953E1"/>
    <w:rsid w:val="FFD8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413" w:lineRule="auto"/>
      <w:jc w:val="left"/>
      <w:outlineLvl w:val="2"/>
    </w:pPr>
    <w:rPr>
      <w:rFonts w:ascii="Times New Roman" w:hAnsi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3024</Words>
  <Characters>3766</Characters>
  <Lines>0</Lines>
  <Paragraphs>0</Paragraphs>
  <TotalTime>1</TotalTime>
  <ScaleCrop>false</ScaleCrop>
  <LinksUpToDate>false</LinksUpToDate>
  <CharactersWithSpaces>3827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2024-06-08T05:29:00Z</dcterms:created>
  <dc:creator>grm</dc:creator>
  <cp:lastModifiedBy>grm</cp:lastModifiedBy>
  <dcterms:modified xsi:type="dcterms:W3CDTF">2024-11-20T15:09:13Z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0AB25F59A74AB0A6CC8A3D67610EFCEE_43</vt:lpwstr>
  </property>
</Properties>
</file>